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i w:val="0"/>
          <w:color w:val="000000"/>
          <w:sz w:val="56"/>
        </w:rPr>
        <w:t>Nonprofit Reserve Investment Policy Statement</w:t>
      </w:r>
    </w:p>
    <w:p>
      <w:pPr>
        <w:spacing w:after="280"/>
      </w:pPr>
      <w:r>
        <w:rPr>
          <w:rFonts w:ascii="Aptos" w:hAnsi="Aptos"/>
          <w:b/>
          <w:i w:val="0"/>
          <w:color w:val="315B4A"/>
          <w:sz w:val="18"/>
        </w:rPr>
        <w:t>BOARD GOVERNANCE TEMPLATE</w:t>
      </w:r>
    </w:p>
    <w:p>
      <w:r>
        <w:t>This template helps a governing body document authority, objectives, liquidity, risk controls, spending, monitoring, and review for reserve or long-term funds. It is not legal, tax, accounting, fiduciary, or investment advice.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Organization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Fund or pool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Approved by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Approval date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Policy owner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Next review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p>
      <w:pPr>
        <w:pStyle w:val="Heading1"/>
      </w:pPr>
      <w:r>
        <w:t>1 Purpose and authority</w:t>
      </w:r>
    </w:p>
    <w:p>
      <w:pPr>
        <w:pStyle w:val="Heading2"/>
      </w:pPr>
      <w:r>
        <w:t>Purpose</w:t>
      </w:r>
    </w:p>
    <w:p>
      <w:r>
        <w:rPr>
          <w:rFonts w:ascii="Aptos" w:hAnsi="Aptos"/>
          <w:b w:val="0"/>
          <w:i/>
          <w:color w:val="555555"/>
          <w:sz w:val="18"/>
        </w:rPr>
        <w:t>Explain why the fund exists, which governing documents control it, and how this policy supports the organization’s mission.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2520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Decision</w:t>
            </w:r>
          </w:p>
        </w:tc>
        <w:tc>
          <w:tcPr>
            <w:tcW w:type="dxa" w:w="2736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Authorized body or role</w:t>
            </w:r>
          </w:p>
        </w:tc>
        <w:tc>
          <w:tcPr>
            <w:tcW w:type="dxa" w:w="2592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Delegated limits</w:t>
            </w:r>
          </w:p>
        </w:tc>
        <w:tc>
          <w:tcPr>
            <w:tcW w:type="dxa" w:w="2736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Reporting required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Approve policy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[Board]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[Not delegated]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[Minutes]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Implement allocation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[Committee or staff]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[Within approved ranges]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[Report frequency]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Select or remove providers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[Thresholds]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[Due diligence record]</w:t>
            </w:r>
          </w:p>
        </w:tc>
      </w:tr>
      <w:tr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Approve exceptions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[Board or committee]</w:t>
            </w:r>
          </w:p>
        </w:tc>
        <w:tc>
          <w:tcPr>
            <w:tcW w:type="dxa" w:w="259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[Conditions]</w:t>
            </w:r>
          </w:p>
        </w:tc>
        <w:tc>
          <w:tcPr>
            <w:tcW w:type="dxa" w:w="273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[Written rationale]</w:t>
            </w:r>
          </w:p>
        </w:tc>
      </w:tr>
    </w:tbl>
    <w:p>
      <w:r>
        <w:br w:type="page"/>
      </w:r>
    </w:p>
    <w:p>
      <w:pPr>
        <w:pStyle w:val="Heading1"/>
      </w:pPr>
      <w:r>
        <w:t>2 Objectives and constraints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3384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Area</w:t>
            </w:r>
          </w:p>
        </w:tc>
        <w:tc>
          <w:tcPr>
            <w:tcW w:type="dxa" w:w="7200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Policy decision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Primary objective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[Preserve purchasing power, fund operations, or other objective]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Time horizon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[Expected duration and sub-pools]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Liquidity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[Operating needs, reserve floor, known distributions]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Risk tolerance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[Loss capacity and unacceptable outcomes]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Legal and donor restrictions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[Governing law, gift instruments, restricted funds]</w:t>
            </w:r>
          </w:p>
        </w:tc>
      </w:tr>
      <w:tr>
        <w:tc>
          <w:tcPr>
            <w:tcW w:type="dxa" w:w="338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Tax status and accounting</w:t>
            </w:r>
          </w:p>
        </w:tc>
        <w:tc>
          <w:tcPr>
            <w:tcW w:type="dxa" w:w="720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[Relevant considerations and professional input]</w:t>
            </w:r>
          </w:p>
        </w:tc>
      </w:tr>
    </w:tbl>
    <w:p>
      <w:pPr>
        <w:pStyle w:val="Heading1"/>
      </w:pPr>
      <w:r>
        <w:t>3 Spending and distributions</w:t>
      </w:r>
    </w:p>
    <w:p>
      <w:pPr>
        <w:pStyle w:val="Heading2"/>
      </w:pPr>
      <w:r>
        <w:t>Spending rule</w:t>
      </w:r>
    </w:p>
    <w:p>
      <w:r>
        <w:rPr>
          <w:rFonts w:ascii="Aptos" w:hAnsi="Aptos"/>
          <w:b w:val="0"/>
          <w:i/>
          <w:color w:val="555555"/>
          <w:sz w:val="18"/>
        </w:rPr>
        <w:t>State the formula, measurement period, approval process, smoothing method, exceptions, and treatment of restricted funds.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4 Strategic allocation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376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Asset category</w:t>
            </w:r>
          </w:p>
        </w:tc>
        <w:tc>
          <w:tcPr>
            <w:tcW w:type="dxa" w:w="1440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Target</w:t>
            </w:r>
          </w:p>
        </w:tc>
        <w:tc>
          <w:tcPr>
            <w:tcW w:type="dxa" w:w="1944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Permitted range</w:t>
            </w:r>
          </w:p>
        </w:tc>
        <w:tc>
          <w:tcPr>
            <w:tcW w:type="dxa" w:w="3240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Role</w:t>
            </w:r>
          </w:p>
        </w:tc>
        <w:tc>
          <w:tcPr>
            <w:tcW w:type="dxa" w:w="1656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Benchmark</w:t>
            </w:r>
          </w:p>
        </w:tc>
      </w:tr>
      <w:tr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[Category]</w:t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[%]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[% to %]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[Growth, income, stability, liquidity]</w:t>
            </w:r>
          </w:p>
        </w:tc>
        <w:tc>
          <w:tcPr>
            <w:tcW w:type="dxa" w:w="16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[Benchmark]</w:t>
            </w:r>
          </w:p>
        </w:tc>
      </w:tr>
      <w:tr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[Category]</w:t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[%]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[% to %]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6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[Benchmark]</w:t>
            </w:r>
          </w:p>
        </w:tc>
      </w:tr>
      <w:tr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[Category]</w:t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[%]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[% to %]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[Role]</w:t>
            </w:r>
          </w:p>
        </w:tc>
        <w:tc>
          <w:tcPr>
            <w:tcW w:type="dxa" w:w="16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[Benchmark]</w:t>
            </w:r>
          </w:p>
        </w:tc>
      </w:tr>
      <w:tr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Cash and equivalents</w:t>
            </w:r>
          </w:p>
        </w:tc>
        <w:tc>
          <w:tcPr>
            <w:tcW w:type="dxa" w:w="14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[%]</w:t>
            </w:r>
          </w:p>
        </w:tc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[% to %]</w:t>
            </w:r>
          </w:p>
        </w:tc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Operating liquidity</w:t>
            </w:r>
          </w:p>
        </w:tc>
        <w:tc>
          <w:tcPr>
            <w:tcW w:type="dxa" w:w="165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[Benchmark]</w:t>
            </w:r>
          </w:p>
        </w:tc>
      </w:tr>
    </w:tbl>
    <w:p>
      <w:pPr>
        <w:pStyle w:val="Heading1"/>
      </w:pPr>
      <w:r>
        <w:t>5 Permitted and prohibited practices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328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Permitted subject to policy</w:t>
            </w:r>
          </w:p>
        </w:tc>
        <w:tc>
          <w:tcPr>
            <w:tcW w:type="dxa" w:w="5328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Prohibited unless separately approved</w:t>
            </w:r>
          </w:p>
        </w:tc>
      </w:tr>
      <w:tr>
        <w:tc>
          <w:tcPr>
            <w:tcW w:type="dxa" w:w="53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[Diversified funds, securities, managers]</w:t>
            </w:r>
          </w:p>
        </w:tc>
        <w:tc>
          <w:tcPr>
            <w:tcW w:type="dxa" w:w="53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[Borrowing, leverage, derivatives, illiquid commitments, concentrated positions]</w:t>
            </w:r>
          </w:p>
        </w:tc>
      </w:tr>
      <w:tr>
        <w:tc>
          <w:tcPr>
            <w:tcW w:type="dxa" w:w="53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[Cash management instruments]</w:t>
            </w:r>
          </w:p>
        </w:tc>
        <w:tc>
          <w:tcPr>
            <w:tcW w:type="dxa" w:w="532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[Related-party transactions or other conflicts]</w:t>
            </w:r>
          </w:p>
        </w:tc>
      </w:tr>
    </w:tbl>
    <w:p>
      <w:r>
        <w:br w:type="page"/>
      </w:r>
    </w:p>
    <w:p>
      <w:pPr>
        <w:pStyle w:val="Heading1"/>
      </w:pPr>
      <w:r>
        <w:t>6 Provider selection and conflicts</w:t>
      </w:r>
    </w:p>
    <w:p>
      <w:pPr>
        <w:pStyle w:val="Heading2"/>
      </w:pPr>
      <w:r>
        <w:t>Due diligence</w:t>
      </w:r>
    </w:p>
    <w:p>
      <w:r>
        <w:rPr>
          <w:rFonts w:ascii="Aptos" w:hAnsi="Aptos"/>
          <w:b w:val="0"/>
          <w:i/>
          <w:color w:val="555555"/>
          <w:sz w:val="18"/>
        </w:rPr>
        <w:t>Document minimum qualifications, fees, custody, performance history, service standards, conflicts, and review process.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Conflict disclosure</w:t>
      </w:r>
    </w:p>
    <w:p>
      <w:r>
        <w:rPr>
          <w:rFonts w:ascii="Aptos" w:hAnsi="Aptos"/>
          <w:b w:val="0"/>
          <w:i/>
          <w:color w:val="555555"/>
          <w:sz w:val="18"/>
        </w:rPr>
        <w:t>State how actual or potential conflicts are disclosed, recorded, reviewed, and resolved.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7 Monitoring and reporting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56"/>
        <w:gridCol w:w="2556"/>
        <w:gridCol w:w="2556"/>
        <w:gridCol w:w="2556"/>
      </w:tblGrid>
      <w:tr>
        <w:tc>
          <w:tcPr>
            <w:tcW w:type="dxa" w:w="3240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Metric</w:t>
            </w:r>
          </w:p>
        </w:tc>
        <w:tc>
          <w:tcPr>
            <w:tcW w:type="dxa" w:w="2160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Frequency</w:t>
            </w:r>
          </w:p>
        </w:tc>
        <w:tc>
          <w:tcPr>
            <w:tcW w:type="dxa" w:w="2880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Comparator</w:t>
            </w:r>
          </w:p>
        </w:tc>
        <w:tc>
          <w:tcPr>
            <w:tcW w:type="dxa" w:w="2376"/>
            <w:shd w:fill="315B4A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Recipient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Market value and cash flow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[Frequency]</w:t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[Budget / prior period]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[Board or committee]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Allocation and range compliance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[Frequency]</w:t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[Policy targets]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[Recipient]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Performance net of fees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[Frequency]</w:t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[Benchmarks]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[Recipient]</w:t>
            </w:r>
          </w:p>
        </w:tc>
      </w:tr>
      <w:tr>
        <w:tc>
          <w:tcPr>
            <w:tcW w:type="dxa" w:w="32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Fees, risk, and restrictions</w:t>
            </w:r>
          </w:p>
        </w:tc>
        <w:tc>
          <w:tcPr>
            <w:tcW w:type="dxa" w:w="216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[Annual]</w:t>
            </w:r>
          </w:p>
        </w:tc>
        <w:tc>
          <w:tcPr>
            <w:tcW w:type="dxa" w:w="288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[Policy and agreements]</w:t>
            </w:r>
          </w:p>
        </w:tc>
        <w:tc>
          <w:tcPr>
            <w:tcW w:type="dxa" w:w="237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EBF3E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[Recipient]</w:t>
            </w:r>
          </w:p>
        </w:tc>
      </w:tr>
    </w:tbl>
    <w:p>
      <w:pPr>
        <w:pStyle w:val="Heading1"/>
      </w:pPr>
      <w:r>
        <w:t>8 Review and amendment</w:t>
      </w:r>
    </w:p>
    <w:p>
      <w:pPr>
        <w:pStyle w:val="Heading2"/>
      </w:pPr>
      <w:r>
        <w:t>Review process</w:t>
      </w:r>
    </w:p>
    <w:p>
      <w:r>
        <w:rPr>
          <w:rFonts w:ascii="Aptos" w:hAnsi="Aptos"/>
          <w:b w:val="0"/>
          <w:i/>
          <w:color w:val="555555"/>
          <w:sz w:val="18"/>
        </w:rPr>
        <w:t>State the regular review cycle, events that trigger an interim review, amendment authority, and recordkeeping requirements.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Board chair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Date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Treasurer or committee chair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315B4A"/>
                <w:sz w:val="17"/>
              </w:rPr>
              <w:t>Date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15B4A"/>
        <w:sz w:val="16"/>
      </w:rPr>
      <w:t>Nonprofit Reserve Investment Policy Statement  |  Board working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Reserve Investment Policy Statement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