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Contractor Confidentiality Statement</w:t>
      </w:r>
    </w:p>
    <w:p>
      <w:pPr>
        <w:jc w:val="center"/>
      </w:pPr>
      <w:r>
        <w:rPr>
          <w:i/>
          <w:color w:val="374B56"/>
          <w:sz w:val="17"/>
        </w:rPr>
        <w:t>A concise acknowledgment for contractors handling confidential information</w:t>
      </w:r>
    </w:p>
    <w:p>
      <w:pPr>
        <w:spacing w:before="100" w:after="60"/>
      </w:pPr>
      <w:r>
        <w:rPr>
          <w:b/>
          <w:color w:val="145569"/>
          <w:sz w:val="19"/>
        </w:rPr>
        <w:t>PARTIES AND ENGAGEMENT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Organization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Contractor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Project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Start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Contact person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End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CONFIDENTIAL INFORMATION</w:t>
      </w:r>
    </w:p>
    <w:p>
      <w:r>
        <w:rPr>
          <w:b/>
          <w:sz w:val="17"/>
        </w:rPr>
        <w:t>Information covered by this statement: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before="100" w:after="60"/>
      </w:pPr>
      <w:r>
        <w:rPr>
          <w:b/>
          <w:color w:val="145569"/>
          <w:sz w:val="19"/>
        </w:rPr>
        <w:t>CONTRACTOR ACKNOWLEDGMENT</w:t>
      </w:r>
    </w:p>
    <w:p>
      <w:pPr>
        <w:ind w:left="288"/>
      </w:pPr>
      <w:r>
        <w:t>☐  Use confidential information only for the approved engagement.</w:t>
      </w:r>
    </w:p>
    <w:p>
      <w:pPr>
        <w:ind w:left="288"/>
      </w:pPr>
      <w:r>
        <w:t>☐  Limit access to authorized people and use reasonable security controls.</w:t>
      </w:r>
    </w:p>
    <w:p>
      <w:pPr>
        <w:ind w:left="288"/>
      </w:pPr>
      <w:r>
        <w:t>☐  Do not copy, disclose or retain information except as authorized.</w:t>
      </w:r>
    </w:p>
    <w:p>
      <w:pPr>
        <w:ind w:left="288"/>
      </w:pPr>
      <w:r>
        <w:t>☐  Report suspected loss, misuse or unauthorized disclosure promptly.</w:t>
      </w:r>
    </w:p>
    <w:p>
      <w:pPr>
        <w:ind w:left="288"/>
      </w:pPr>
      <w:r>
        <w:t>☐  Return or securely destroy information when instructed, subject to lawful retention duties.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Confidentiality period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Governing terms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Return deadline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Exceptions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Public / Known / Required by law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Contractor signature and date</w:t>
            </w:r>
          </w:p>
        </w:tc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Organization representative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Customize this statement to the engagement and obtain legal review where appropriate.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